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453C91B9"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#89</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R4-181</w:t>
      </w:r>
      <w:r w:rsidR="00314CD0">
        <w:rPr>
          <w:rFonts w:ascii="Calibri" w:eastAsia="新細明體" w:hAnsi="Calibri" w:cs="Arial"/>
          <w:noProof w:val="0"/>
          <w:sz w:val="24"/>
          <w:szCs w:val="24"/>
          <w:lang w:eastAsia="ja-JP"/>
        </w:rPr>
        <w:t>4899</w:t>
      </w:r>
    </w:p>
    <w:p w14:paraId="162ECE50" w14:textId="548161F6" w:rsidR="00811EEE" w:rsidRPr="00FE72F2" w:rsidRDefault="00A36935"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Spokane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WA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US, November</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16</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14:paraId="1CAD8A83" w14:textId="41F4EEDA"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14CD0">
        <w:rPr>
          <w:rFonts w:cs="Arial"/>
          <w:b/>
          <w:bCs/>
        </w:rPr>
        <w:t>7.11.6</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183316D" w:rsidR="00174EC2" w:rsidRDefault="0034111C" w:rsidP="007A4FCF">
      <w:pPr>
        <w:ind w:left="1985" w:hanging="1985"/>
        <w:rPr>
          <w:rFonts w:cs="Arial"/>
          <w:b/>
          <w:bCs/>
        </w:rPr>
      </w:pPr>
      <w:r w:rsidRPr="000C45FD">
        <w:rPr>
          <w:rFonts w:cs="Arial"/>
          <w:b/>
          <w:bCs/>
        </w:rPr>
        <w:t>Title:</w:t>
      </w:r>
      <w:r w:rsidRPr="000C45FD">
        <w:rPr>
          <w:rFonts w:cs="Arial"/>
          <w:b/>
          <w:bCs/>
        </w:rPr>
        <w:tab/>
      </w:r>
      <w:r w:rsidR="00967F64">
        <w:rPr>
          <w:rFonts w:cs="Arial"/>
          <w:b/>
          <w:bCs/>
        </w:rPr>
        <w:t>Impact of FR2 intra-band NCCA MRTD to UE Rx beam switch</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917A111" w14:textId="5A8B999D" w:rsidR="0091441D" w:rsidRDefault="00967F64" w:rsidP="006A10B9">
      <w:pPr>
        <w:jc w:val="both"/>
      </w:pPr>
      <w:r>
        <w:t xml:space="preserve">The MRTD requirement for FR2 intra-band NCCA is 3 us, which is longer than the CP length of the OFDM symbol of 60KHz, 120KHz and 240KHz SCS. This may lead to some problem when UE is switching its Rx beam at the slot boundary. </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60301AEF" w14:textId="617154F2" w:rsidR="00BE4CCA" w:rsidRDefault="00967F64" w:rsidP="00954066">
      <w:pPr>
        <w:rPr>
          <w:lang w:val="en-GB" w:eastAsia="en-US"/>
        </w:rPr>
      </w:pPr>
      <w:r>
        <w:rPr>
          <w:lang w:val="en-GB" w:eastAsia="en-US"/>
        </w:rPr>
        <w:t xml:space="preserve">Current MRTD requirement of FR2 </w:t>
      </w:r>
      <w:r w:rsidRPr="00967F64">
        <w:rPr>
          <w:lang w:val="en-GB" w:eastAsia="en-US"/>
        </w:rPr>
        <w:t xml:space="preserve">intra-band NCCA </w:t>
      </w:r>
      <w:r>
        <w:rPr>
          <w:lang w:val="en-GB" w:eastAsia="en-US"/>
        </w:rPr>
        <w:t>is agreed in Table 7.6.4-1 in TS38.133, as copied below. The requirement is 3us.</w:t>
      </w:r>
    </w:p>
    <w:tbl>
      <w:tblPr>
        <w:tblStyle w:val="af7"/>
        <w:tblW w:w="0" w:type="auto"/>
        <w:tblInd w:w="846" w:type="dxa"/>
        <w:tblLook w:val="04A0" w:firstRow="1" w:lastRow="0" w:firstColumn="1" w:lastColumn="0" w:noHBand="0" w:noVBand="1"/>
      </w:tblPr>
      <w:tblGrid>
        <w:gridCol w:w="7938"/>
      </w:tblGrid>
      <w:tr w:rsidR="00967F64" w14:paraId="60E6ABF1" w14:textId="77777777" w:rsidTr="00967F64">
        <w:tc>
          <w:tcPr>
            <w:tcW w:w="7938" w:type="dxa"/>
          </w:tcPr>
          <w:p w14:paraId="0C5F2DEC" w14:textId="77777777" w:rsidR="00967F64" w:rsidRPr="00967F64" w:rsidRDefault="00967F64" w:rsidP="00967F64">
            <w:pPr>
              <w:pStyle w:val="TH"/>
              <w:spacing w:after="0"/>
              <w:rPr>
                <w:rFonts w:eastAsia="Malgun Gothic"/>
                <w:snapToGrid w:val="0"/>
                <w:sz w:val="20"/>
                <w:szCs w:val="20"/>
                <w:lang w:eastAsia="ko-KR"/>
              </w:rPr>
            </w:pPr>
            <w:r w:rsidRPr="00967F64">
              <w:rPr>
                <w:snapToGrid w:val="0"/>
                <w:sz w:val="20"/>
                <w:szCs w:val="20"/>
              </w:rPr>
              <w:t>Table 7.6.</w:t>
            </w:r>
            <w:r w:rsidRPr="00967F64">
              <w:rPr>
                <w:rFonts w:eastAsia="Malgun Gothic" w:hint="eastAsia"/>
                <w:snapToGrid w:val="0"/>
                <w:sz w:val="20"/>
                <w:szCs w:val="20"/>
              </w:rPr>
              <w:t>4</w:t>
            </w:r>
            <w:r w:rsidRPr="00967F64">
              <w:rPr>
                <w:snapToGrid w:val="0"/>
                <w:sz w:val="20"/>
                <w:szCs w:val="20"/>
              </w:rPr>
              <w:t>-</w:t>
            </w:r>
            <w:r w:rsidRPr="00967F64">
              <w:rPr>
                <w:rFonts w:eastAsia="Malgun Gothic" w:hint="eastAsia"/>
                <w:snapToGrid w:val="0"/>
                <w:sz w:val="20"/>
                <w:szCs w:val="20"/>
              </w:rPr>
              <w:t>1</w:t>
            </w:r>
            <w:r w:rsidRPr="00967F64">
              <w:rPr>
                <w:rFonts w:eastAsia="Malgun Gothic" w:hint="eastAsia"/>
                <w:snapToGrid w:val="0"/>
                <w:sz w:val="20"/>
                <w:szCs w:val="20"/>
                <w:lang w:eastAsia="ko-KR"/>
              </w:rPr>
              <w:t>:</w:t>
            </w:r>
            <w:r w:rsidRPr="00967F64">
              <w:rPr>
                <w:snapToGrid w:val="0"/>
                <w:sz w:val="20"/>
                <w:szCs w:val="2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268"/>
            </w:tblGrid>
            <w:tr w:rsidR="00967F64" w:rsidRPr="00967F64" w14:paraId="0D8D2B3A" w14:textId="77777777" w:rsidTr="00967F64">
              <w:trPr>
                <w:jc w:val="center"/>
              </w:trPr>
              <w:tc>
                <w:tcPr>
                  <w:tcW w:w="1247" w:type="dxa"/>
                  <w:shd w:val="clear" w:color="auto" w:fill="auto"/>
                </w:tcPr>
                <w:p w14:paraId="3A716364" w14:textId="77777777" w:rsidR="00967F64" w:rsidRPr="00967F64" w:rsidRDefault="00967F64" w:rsidP="00967F64">
                  <w:pPr>
                    <w:pStyle w:val="TAH"/>
                    <w:spacing w:after="0"/>
                    <w:rPr>
                      <w:sz w:val="20"/>
                    </w:rPr>
                  </w:pPr>
                  <w:r w:rsidRPr="00967F64">
                    <w:rPr>
                      <w:sz w:val="20"/>
                    </w:rPr>
                    <w:t>Frequency Range</w:t>
                  </w:r>
                </w:p>
              </w:tc>
              <w:tc>
                <w:tcPr>
                  <w:tcW w:w="2268" w:type="dxa"/>
                  <w:shd w:val="clear" w:color="auto" w:fill="auto"/>
                </w:tcPr>
                <w:p w14:paraId="2AFED70F" w14:textId="77777777" w:rsidR="00967F64" w:rsidRPr="00967F64" w:rsidRDefault="00967F64" w:rsidP="00967F64">
                  <w:pPr>
                    <w:pStyle w:val="TAH"/>
                    <w:spacing w:after="0"/>
                    <w:rPr>
                      <w:sz w:val="20"/>
                    </w:rPr>
                  </w:pPr>
                  <w:r w:rsidRPr="00967F64">
                    <w:rPr>
                      <w:sz w:val="20"/>
                    </w:rPr>
                    <w:t xml:space="preserve">Maximum receive timing difference (µs) </w:t>
                  </w:r>
                </w:p>
              </w:tc>
            </w:tr>
            <w:tr w:rsidR="00967F64" w:rsidRPr="00967F64" w14:paraId="6CB52882" w14:textId="77777777" w:rsidTr="00967F64">
              <w:trPr>
                <w:jc w:val="center"/>
              </w:trPr>
              <w:tc>
                <w:tcPr>
                  <w:tcW w:w="1247" w:type="dxa"/>
                  <w:shd w:val="clear" w:color="auto" w:fill="auto"/>
                </w:tcPr>
                <w:p w14:paraId="7BBFFC33" w14:textId="77777777" w:rsidR="00967F64" w:rsidRPr="00967F64" w:rsidRDefault="00967F64" w:rsidP="00967F64">
                  <w:pPr>
                    <w:pStyle w:val="TAC"/>
                    <w:spacing w:after="0"/>
                    <w:rPr>
                      <w:sz w:val="20"/>
                    </w:rPr>
                  </w:pPr>
                  <w:r w:rsidRPr="00967F64">
                    <w:rPr>
                      <w:sz w:val="20"/>
                    </w:rPr>
                    <w:t>FR1</w:t>
                  </w:r>
                </w:p>
              </w:tc>
              <w:tc>
                <w:tcPr>
                  <w:tcW w:w="2268" w:type="dxa"/>
                  <w:shd w:val="clear" w:color="auto" w:fill="auto"/>
                </w:tcPr>
                <w:p w14:paraId="0F3B3035" w14:textId="77777777" w:rsidR="00967F64" w:rsidRPr="00967F64" w:rsidRDefault="00967F64" w:rsidP="00967F64">
                  <w:pPr>
                    <w:pStyle w:val="TAC"/>
                    <w:spacing w:after="0"/>
                    <w:rPr>
                      <w:sz w:val="20"/>
                    </w:rPr>
                  </w:pPr>
                  <w:r w:rsidRPr="00967F64">
                    <w:rPr>
                      <w:sz w:val="20"/>
                    </w:rPr>
                    <w:t>3</w:t>
                  </w:r>
                </w:p>
              </w:tc>
            </w:tr>
            <w:tr w:rsidR="00967F64" w:rsidRPr="00967F64" w14:paraId="2EC2309A" w14:textId="77777777" w:rsidTr="00967F64">
              <w:trPr>
                <w:jc w:val="center"/>
              </w:trPr>
              <w:tc>
                <w:tcPr>
                  <w:tcW w:w="1247" w:type="dxa"/>
                  <w:shd w:val="clear" w:color="auto" w:fill="auto"/>
                </w:tcPr>
                <w:p w14:paraId="7CDFF976" w14:textId="77777777" w:rsidR="00967F64" w:rsidRPr="00967F64" w:rsidRDefault="00967F64" w:rsidP="00967F64">
                  <w:pPr>
                    <w:pStyle w:val="TAC"/>
                    <w:spacing w:after="0"/>
                    <w:rPr>
                      <w:sz w:val="20"/>
                    </w:rPr>
                  </w:pPr>
                  <w:r w:rsidRPr="00967F64">
                    <w:rPr>
                      <w:sz w:val="20"/>
                    </w:rPr>
                    <w:t>FR2</w:t>
                  </w:r>
                </w:p>
              </w:tc>
              <w:tc>
                <w:tcPr>
                  <w:tcW w:w="2268" w:type="dxa"/>
                  <w:shd w:val="clear" w:color="auto" w:fill="auto"/>
                </w:tcPr>
                <w:p w14:paraId="377215FC" w14:textId="77777777" w:rsidR="00967F64" w:rsidRPr="00967F64" w:rsidRDefault="00967F64" w:rsidP="00967F64">
                  <w:pPr>
                    <w:pStyle w:val="TAC"/>
                    <w:spacing w:after="0"/>
                    <w:rPr>
                      <w:sz w:val="20"/>
                    </w:rPr>
                  </w:pPr>
                  <w:r w:rsidRPr="00967F64">
                    <w:rPr>
                      <w:sz w:val="20"/>
                    </w:rPr>
                    <w:t>3</w:t>
                  </w:r>
                </w:p>
              </w:tc>
            </w:tr>
          </w:tbl>
          <w:p w14:paraId="71D3AED2" w14:textId="77777777" w:rsidR="00967F64" w:rsidRDefault="00967F64" w:rsidP="00954066">
            <w:pPr>
              <w:rPr>
                <w:lang w:val="en-GB" w:eastAsia="en-US"/>
              </w:rPr>
            </w:pPr>
          </w:p>
        </w:tc>
      </w:tr>
    </w:tbl>
    <w:p w14:paraId="6F92BC3C" w14:textId="77777777" w:rsidR="00967F64" w:rsidRDefault="00967F64" w:rsidP="00954066">
      <w:pPr>
        <w:rPr>
          <w:lang w:val="en-GB" w:eastAsia="en-US"/>
        </w:rPr>
      </w:pPr>
    </w:p>
    <w:p w14:paraId="491DCCA8" w14:textId="1D51F6CA" w:rsidR="00725FE9" w:rsidRDefault="00725FE9" w:rsidP="00954066">
      <w:pPr>
        <w:rPr>
          <w:lang w:val="en-GB" w:eastAsia="en-US"/>
        </w:rPr>
      </w:pPr>
      <w:r>
        <w:rPr>
          <w:lang w:val="en-GB" w:eastAsia="en-US"/>
        </w:rPr>
        <w:t xml:space="preserve">On the other hand, the OFDM symbol and CP lengths for different </w:t>
      </w:r>
      <w:r w:rsidR="00DA6725">
        <w:rPr>
          <w:lang w:val="en-GB" w:eastAsia="en-US"/>
        </w:rPr>
        <w:t>SCS</w:t>
      </w:r>
      <w:r>
        <w:rPr>
          <w:lang w:val="en-GB" w:eastAsia="en-US"/>
        </w:rPr>
        <w:t xml:space="preserve"> is provided in </w:t>
      </w:r>
      <w:r w:rsidR="00DA6725">
        <w:rPr>
          <w:lang w:val="en-GB" w:eastAsia="en-US"/>
        </w:rPr>
        <w:fldChar w:fldCharType="begin"/>
      </w:r>
      <w:r w:rsidR="00DA6725">
        <w:rPr>
          <w:lang w:val="en-GB" w:eastAsia="en-US"/>
        </w:rPr>
        <w:instrText xml:space="preserve"> REF _Ref528520594 \h </w:instrText>
      </w:r>
      <w:r w:rsidR="00DA6725">
        <w:rPr>
          <w:lang w:val="en-GB" w:eastAsia="en-US"/>
        </w:rPr>
      </w:r>
      <w:r w:rsidR="00DA6725">
        <w:rPr>
          <w:lang w:val="en-GB" w:eastAsia="en-US"/>
        </w:rPr>
        <w:fldChar w:fldCharType="separate"/>
      </w:r>
      <w:r w:rsidR="00DA6725">
        <w:t xml:space="preserve">Table </w:t>
      </w:r>
      <w:r w:rsidR="00DA6725">
        <w:rPr>
          <w:noProof/>
        </w:rPr>
        <w:t>1</w:t>
      </w:r>
      <w:r w:rsidR="00DA6725">
        <w:rPr>
          <w:lang w:val="en-GB" w:eastAsia="en-US"/>
        </w:rPr>
        <w:fldChar w:fldCharType="end"/>
      </w:r>
      <w:r w:rsidR="00DA6725">
        <w:rPr>
          <w:lang w:val="en-GB" w:eastAsia="en-US"/>
        </w:rPr>
        <w:t>. For FR2, the CP lengths are 1.17us, 0.59us and 0.295us for SCS 60KHz, 120KHz and 240KHz, respectively.</w:t>
      </w:r>
    </w:p>
    <w:p w14:paraId="11B1F162" w14:textId="4570D715" w:rsidR="00725FE9" w:rsidRPr="00725FE9" w:rsidRDefault="00725FE9" w:rsidP="00725FE9">
      <w:pPr>
        <w:pStyle w:val="af1"/>
        <w:jc w:val="center"/>
        <w:rPr>
          <w:lang w:val="en-US" w:eastAsia="en-US"/>
        </w:rPr>
      </w:pPr>
      <w:bookmarkStart w:id="0" w:name="_Ref528520594"/>
      <w:r>
        <w:t xml:space="preserve">Table </w:t>
      </w:r>
      <w:r>
        <w:fldChar w:fldCharType="begin"/>
      </w:r>
      <w:r>
        <w:instrText xml:space="preserve"> SEQ Table \* ARABIC </w:instrText>
      </w:r>
      <w:r>
        <w:fldChar w:fldCharType="separate"/>
      </w:r>
      <w:r>
        <w:rPr>
          <w:noProof/>
        </w:rPr>
        <w:t>1</w:t>
      </w:r>
      <w:r>
        <w:fldChar w:fldCharType="end"/>
      </w:r>
      <w:bookmarkEnd w:id="0"/>
      <w:r>
        <w:rPr>
          <w:lang w:val="en-US"/>
        </w:rPr>
        <w:t xml:space="preserve"> OFDM symbol length and CP length for different SCS</w:t>
      </w:r>
    </w:p>
    <w:tbl>
      <w:tblPr>
        <w:tblStyle w:val="af7"/>
        <w:tblW w:w="0" w:type="auto"/>
        <w:jc w:val="center"/>
        <w:tblLook w:val="04A0" w:firstRow="1" w:lastRow="0" w:firstColumn="1" w:lastColumn="0" w:noHBand="0" w:noVBand="1"/>
      </w:tblPr>
      <w:tblGrid>
        <w:gridCol w:w="2098"/>
        <w:gridCol w:w="794"/>
        <w:gridCol w:w="794"/>
        <w:gridCol w:w="794"/>
        <w:gridCol w:w="794"/>
        <w:gridCol w:w="794"/>
      </w:tblGrid>
      <w:tr w:rsidR="008A4C2D" w:rsidRPr="008A4C2D" w14:paraId="40C4D763" w14:textId="77777777" w:rsidTr="008A4C2D">
        <w:trPr>
          <w:jc w:val="center"/>
        </w:trPr>
        <w:tc>
          <w:tcPr>
            <w:tcW w:w="2098" w:type="dxa"/>
          </w:tcPr>
          <w:p w14:paraId="12B69D02" w14:textId="031EF3CB"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SCS (KHz)</w:t>
            </w:r>
          </w:p>
        </w:tc>
        <w:tc>
          <w:tcPr>
            <w:tcW w:w="794" w:type="dxa"/>
          </w:tcPr>
          <w:p w14:paraId="02B2212F" w14:textId="4FF80F3D" w:rsidR="00725FE9" w:rsidRPr="008A4C2D" w:rsidRDefault="00725FE9" w:rsidP="00725FE9">
            <w:pPr>
              <w:spacing w:after="0"/>
              <w:jc w:val="center"/>
              <w:rPr>
                <w:lang w:val="en-GB" w:eastAsia="en-US"/>
              </w:rPr>
            </w:pPr>
            <w:r w:rsidRPr="008A4C2D">
              <w:rPr>
                <w:lang w:val="en-GB" w:eastAsia="en-US"/>
              </w:rPr>
              <w:t>15</w:t>
            </w:r>
          </w:p>
        </w:tc>
        <w:tc>
          <w:tcPr>
            <w:tcW w:w="794" w:type="dxa"/>
          </w:tcPr>
          <w:p w14:paraId="06AFB82F" w14:textId="13EEEC9D" w:rsidR="00725FE9" w:rsidRPr="008A4C2D" w:rsidRDefault="00725FE9" w:rsidP="00725FE9">
            <w:pPr>
              <w:spacing w:after="0"/>
              <w:jc w:val="center"/>
              <w:rPr>
                <w:lang w:val="en-GB" w:eastAsia="en-US"/>
              </w:rPr>
            </w:pPr>
            <w:r w:rsidRPr="008A4C2D">
              <w:rPr>
                <w:lang w:val="en-GB" w:eastAsia="en-US"/>
              </w:rPr>
              <w:t>30</w:t>
            </w:r>
          </w:p>
        </w:tc>
        <w:tc>
          <w:tcPr>
            <w:tcW w:w="794" w:type="dxa"/>
          </w:tcPr>
          <w:p w14:paraId="1E3987B8" w14:textId="05A1315A" w:rsidR="00725FE9" w:rsidRPr="008A4C2D" w:rsidRDefault="00725FE9" w:rsidP="00725FE9">
            <w:pPr>
              <w:spacing w:after="0"/>
              <w:jc w:val="center"/>
              <w:rPr>
                <w:lang w:val="en-GB" w:eastAsia="en-US"/>
              </w:rPr>
            </w:pPr>
            <w:r w:rsidRPr="008A4C2D">
              <w:rPr>
                <w:lang w:val="en-GB" w:eastAsia="en-US"/>
              </w:rPr>
              <w:t>60</w:t>
            </w:r>
          </w:p>
        </w:tc>
        <w:tc>
          <w:tcPr>
            <w:tcW w:w="794" w:type="dxa"/>
          </w:tcPr>
          <w:p w14:paraId="2018617F" w14:textId="3C6B90DD" w:rsidR="00725FE9" w:rsidRPr="008A4C2D" w:rsidRDefault="00725FE9" w:rsidP="00725FE9">
            <w:pPr>
              <w:spacing w:after="0"/>
              <w:jc w:val="center"/>
              <w:rPr>
                <w:lang w:val="en-GB" w:eastAsia="en-US"/>
              </w:rPr>
            </w:pPr>
            <w:r w:rsidRPr="008A4C2D">
              <w:rPr>
                <w:lang w:val="en-GB" w:eastAsia="en-US"/>
              </w:rPr>
              <w:t>120</w:t>
            </w:r>
          </w:p>
        </w:tc>
        <w:tc>
          <w:tcPr>
            <w:tcW w:w="794" w:type="dxa"/>
          </w:tcPr>
          <w:p w14:paraId="6261108D" w14:textId="15CEC8C4" w:rsidR="00725FE9" w:rsidRPr="008A4C2D" w:rsidRDefault="00725FE9" w:rsidP="00725FE9">
            <w:pPr>
              <w:spacing w:after="0"/>
              <w:jc w:val="center"/>
              <w:rPr>
                <w:lang w:val="en-GB" w:eastAsia="en-US"/>
              </w:rPr>
            </w:pPr>
            <w:r w:rsidRPr="008A4C2D">
              <w:rPr>
                <w:lang w:val="en-GB" w:eastAsia="en-US"/>
              </w:rPr>
              <w:t>240</w:t>
            </w:r>
          </w:p>
        </w:tc>
      </w:tr>
      <w:tr w:rsidR="008A4C2D" w:rsidRPr="008A4C2D" w14:paraId="3C8B21D3" w14:textId="77777777" w:rsidTr="008A4C2D">
        <w:trPr>
          <w:jc w:val="center"/>
        </w:trPr>
        <w:tc>
          <w:tcPr>
            <w:tcW w:w="2098" w:type="dxa"/>
          </w:tcPr>
          <w:p w14:paraId="7FE0ACA3" w14:textId="132BC44A"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Symbol duration (us)</w:t>
            </w:r>
          </w:p>
        </w:tc>
        <w:tc>
          <w:tcPr>
            <w:tcW w:w="794" w:type="dxa"/>
          </w:tcPr>
          <w:p w14:paraId="694BD6AF" w14:textId="77777777" w:rsidR="00725FE9" w:rsidRPr="008A4C2D" w:rsidRDefault="00725FE9" w:rsidP="00725FE9">
            <w:pPr>
              <w:spacing w:after="0"/>
              <w:jc w:val="center"/>
              <w:rPr>
                <w:lang w:val="en-GB" w:eastAsia="en-US"/>
              </w:rPr>
            </w:pPr>
            <w:r w:rsidRPr="008A4C2D">
              <w:rPr>
                <w:lang w:val="en-GB" w:eastAsia="en-US"/>
              </w:rPr>
              <w:t>66.66</w:t>
            </w:r>
          </w:p>
        </w:tc>
        <w:tc>
          <w:tcPr>
            <w:tcW w:w="794" w:type="dxa"/>
          </w:tcPr>
          <w:p w14:paraId="1D77DFF4" w14:textId="77777777" w:rsidR="00725FE9" w:rsidRPr="008A4C2D" w:rsidRDefault="00725FE9" w:rsidP="00725FE9">
            <w:pPr>
              <w:spacing w:after="0"/>
              <w:jc w:val="center"/>
              <w:rPr>
                <w:lang w:val="en-GB" w:eastAsia="en-US"/>
              </w:rPr>
            </w:pPr>
            <w:r w:rsidRPr="008A4C2D">
              <w:rPr>
                <w:lang w:val="en-GB" w:eastAsia="en-US"/>
              </w:rPr>
              <w:t>33.33</w:t>
            </w:r>
          </w:p>
        </w:tc>
        <w:tc>
          <w:tcPr>
            <w:tcW w:w="794" w:type="dxa"/>
          </w:tcPr>
          <w:p w14:paraId="1AD74818" w14:textId="77777777" w:rsidR="00725FE9" w:rsidRPr="008A4C2D" w:rsidRDefault="00725FE9" w:rsidP="00725FE9">
            <w:pPr>
              <w:spacing w:after="0"/>
              <w:jc w:val="center"/>
              <w:rPr>
                <w:lang w:val="en-GB" w:eastAsia="en-US"/>
              </w:rPr>
            </w:pPr>
            <w:r w:rsidRPr="008A4C2D">
              <w:rPr>
                <w:lang w:val="en-GB" w:eastAsia="en-US"/>
              </w:rPr>
              <w:t>16.67</w:t>
            </w:r>
          </w:p>
        </w:tc>
        <w:tc>
          <w:tcPr>
            <w:tcW w:w="794" w:type="dxa"/>
          </w:tcPr>
          <w:p w14:paraId="4FF579E3" w14:textId="77777777" w:rsidR="00725FE9" w:rsidRPr="008A4C2D" w:rsidRDefault="00725FE9" w:rsidP="00725FE9">
            <w:pPr>
              <w:spacing w:after="0"/>
              <w:jc w:val="center"/>
              <w:rPr>
                <w:lang w:val="en-GB" w:eastAsia="en-US"/>
              </w:rPr>
            </w:pPr>
            <w:r w:rsidRPr="008A4C2D">
              <w:rPr>
                <w:lang w:val="en-GB" w:eastAsia="en-US"/>
              </w:rPr>
              <w:t>8.33</w:t>
            </w:r>
          </w:p>
        </w:tc>
        <w:tc>
          <w:tcPr>
            <w:tcW w:w="794" w:type="dxa"/>
          </w:tcPr>
          <w:p w14:paraId="1751EA03" w14:textId="77777777" w:rsidR="00725FE9" w:rsidRPr="008A4C2D" w:rsidRDefault="00725FE9" w:rsidP="00725FE9">
            <w:pPr>
              <w:spacing w:after="0"/>
              <w:jc w:val="center"/>
              <w:rPr>
                <w:lang w:val="en-GB" w:eastAsia="en-US"/>
              </w:rPr>
            </w:pPr>
            <w:r w:rsidRPr="008A4C2D">
              <w:rPr>
                <w:lang w:val="en-GB" w:eastAsia="en-US"/>
              </w:rPr>
              <w:t>4.16</w:t>
            </w:r>
          </w:p>
        </w:tc>
      </w:tr>
      <w:tr w:rsidR="008A4C2D" w:rsidRPr="008A4C2D" w14:paraId="677515A0" w14:textId="77777777" w:rsidTr="008A4C2D">
        <w:trPr>
          <w:jc w:val="center"/>
        </w:trPr>
        <w:tc>
          <w:tcPr>
            <w:tcW w:w="2098" w:type="dxa"/>
          </w:tcPr>
          <w:p w14:paraId="409D5FFD" w14:textId="156F8E37"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CP length (us)</w:t>
            </w:r>
          </w:p>
        </w:tc>
        <w:tc>
          <w:tcPr>
            <w:tcW w:w="794" w:type="dxa"/>
          </w:tcPr>
          <w:p w14:paraId="7078398F" w14:textId="77777777" w:rsidR="00725FE9" w:rsidRPr="008A4C2D" w:rsidRDefault="00725FE9" w:rsidP="00725FE9">
            <w:pPr>
              <w:spacing w:after="0"/>
              <w:jc w:val="center"/>
              <w:rPr>
                <w:lang w:val="en-GB" w:eastAsia="en-US"/>
              </w:rPr>
            </w:pPr>
            <w:r w:rsidRPr="008A4C2D">
              <w:rPr>
                <w:lang w:val="en-GB" w:eastAsia="en-US"/>
              </w:rPr>
              <w:t>4.96</w:t>
            </w:r>
          </w:p>
        </w:tc>
        <w:tc>
          <w:tcPr>
            <w:tcW w:w="794" w:type="dxa"/>
          </w:tcPr>
          <w:p w14:paraId="4F451C2F" w14:textId="77777777" w:rsidR="00725FE9" w:rsidRPr="008A4C2D" w:rsidRDefault="00725FE9" w:rsidP="00725FE9">
            <w:pPr>
              <w:spacing w:after="0"/>
              <w:jc w:val="center"/>
              <w:rPr>
                <w:lang w:val="en-GB" w:eastAsia="en-US"/>
              </w:rPr>
            </w:pPr>
            <w:r w:rsidRPr="008A4C2D">
              <w:rPr>
                <w:lang w:val="en-GB" w:eastAsia="en-US"/>
              </w:rPr>
              <w:t>2.34</w:t>
            </w:r>
          </w:p>
        </w:tc>
        <w:tc>
          <w:tcPr>
            <w:tcW w:w="794" w:type="dxa"/>
          </w:tcPr>
          <w:p w14:paraId="29570D05" w14:textId="77777777" w:rsidR="00725FE9" w:rsidRPr="008A4C2D" w:rsidRDefault="00725FE9" w:rsidP="00725FE9">
            <w:pPr>
              <w:spacing w:after="0"/>
              <w:jc w:val="center"/>
              <w:rPr>
                <w:highlight w:val="yellow"/>
                <w:lang w:val="en-GB" w:eastAsia="en-US"/>
              </w:rPr>
            </w:pPr>
            <w:r w:rsidRPr="008A4C2D">
              <w:rPr>
                <w:highlight w:val="yellow"/>
                <w:lang w:val="en-GB" w:eastAsia="en-US"/>
              </w:rPr>
              <w:t>1.17</w:t>
            </w:r>
          </w:p>
        </w:tc>
        <w:tc>
          <w:tcPr>
            <w:tcW w:w="794" w:type="dxa"/>
          </w:tcPr>
          <w:p w14:paraId="0B9B3968" w14:textId="77777777" w:rsidR="00725FE9" w:rsidRPr="008A4C2D" w:rsidRDefault="00725FE9" w:rsidP="00725FE9">
            <w:pPr>
              <w:spacing w:after="0"/>
              <w:jc w:val="center"/>
              <w:rPr>
                <w:highlight w:val="yellow"/>
                <w:lang w:val="en-GB" w:eastAsia="en-US"/>
              </w:rPr>
            </w:pPr>
            <w:r w:rsidRPr="008A4C2D">
              <w:rPr>
                <w:highlight w:val="yellow"/>
                <w:lang w:val="en-GB" w:eastAsia="en-US"/>
              </w:rPr>
              <w:t>0.59</w:t>
            </w:r>
          </w:p>
        </w:tc>
        <w:tc>
          <w:tcPr>
            <w:tcW w:w="794" w:type="dxa"/>
          </w:tcPr>
          <w:p w14:paraId="5CF61449" w14:textId="77777777" w:rsidR="00725FE9" w:rsidRPr="008A4C2D" w:rsidRDefault="00725FE9" w:rsidP="00725FE9">
            <w:pPr>
              <w:spacing w:after="0"/>
              <w:jc w:val="center"/>
              <w:rPr>
                <w:highlight w:val="yellow"/>
                <w:lang w:val="en-GB" w:eastAsia="en-US"/>
              </w:rPr>
            </w:pPr>
            <w:r w:rsidRPr="008A4C2D">
              <w:rPr>
                <w:highlight w:val="yellow"/>
                <w:lang w:val="en-GB" w:eastAsia="en-US"/>
              </w:rPr>
              <w:t>0.295</w:t>
            </w:r>
          </w:p>
        </w:tc>
      </w:tr>
    </w:tbl>
    <w:p w14:paraId="643609E9" w14:textId="77777777" w:rsidR="00725FE9" w:rsidRDefault="00725FE9" w:rsidP="00954066">
      <w:pPr>
        <w:rPr>
          <w:lang w:val="en-GB" w:eastAsia="en-US"/>
        </w:rPr>
      </w:pPr>
    </w:p>
    <w:p w14:paraId="24608A5A" w14:textId="2121DC72" w:rsidR="00967F64" w:rsidRDefault="008A4C2D" w:rsidP="008A4C2D">
      <w:pPr>
        <w:jc w:val="both"/>
        <w:rPr>
          <w:lang w:val="en-GB" w:eastAsia="en-US"/>
        </w:rPr>
      </w:pPr>
      <w:r>
        <w:rPr>
          <w:lang w:val="en-GB" w:eastAsia="en-US"/>
        </w:rPr>
        <w:t xml:space="preserve">Now, given that UE is simultaneously receiving the data from 2 CCs in a FR2 band. UE is indicated with a TCI-state#1 in slot n and TCI-state#2 in slot n+1. After reception in slot n, UE has to switch its Rx beam for the next slot. Now, there is a 3us timing misalignment between this 2 CCs, as illustrated in </w:t>
      </w:r>
      <w:r>
        <w:rPr>
          <w:lang w:val="en-GB" w:eastAsia="en-US"/>
        </w:rPr>
        <w:fldChar w:fldCharType="begin"/>
      </w:r>
      <w:r>
        <w:rPr>
          <w:lang w:val="en-GB" w:eastAsia="en-US"/>
        </w:rPr>
        <w:instrText xml:space="preserve"> REF _Ref528521326 \h </w:instrText>
      </w:r>
      <w:r>
        <w:rPr>
          <w:lang w:val="en-GB" w:eastAsia="en-US"/>
        </w:rPr>
      </w:r>
      <w:r>
        <w:rPr>
          <w:lang w:val="en-GB" w:eastAsia="en-US"/>
        </w:rPr>
        <w:fldChar w:fldCharType="separate"/>
      </w:r>
      <w:r>
        <w:t xml:space="preserve">Figure </w:t>
      </w:r>
      <w:r>
        <w:rPr>
          <w:noProof/>
        </w:rPr>
        <w:t>1</w:t>
      </w:r>
      <w:r>
        <w:rPr>
          <w:lang w:val="en-GB" w:eastAsia="en-US"/>
        </w:rPr>
        <w:fldChar w:fldCharType="end"/>
      </w:r>
      <w:r w:rsidR="009C23D7">
        <w:rPr>
          <w:lang w:val="en-GB" w:eastAsia="en-US"/>
        </w:rPr>
        <w:t>,</w:t>
      </w:r>
      <w:bookmarkStart w:id="1" w:name="_GoBack"/>
      <w:bookmarkEnd w:id="1"/>
      <w:r>
        <w:rPr>
          <w:lang w:val="en-GB" w:eastAsia="en-US"/>
        </w:rPr>
        <w:t xml:space="preserve"> which takes 60KHz SCS as an example. </w:t>
      </w:r>
      <w:r w:rsidR="00D67925">
        <w:rPr>
          <w:lang w:val="en-GB" w:eastAsia="en-US"/>
        </w:rPr>
        <w:t>In this case, UE finds nowhere to switch its Rx beam without impacting the data reception performance.</w:t>
      </w:r>
    </w:p>
    <w:p w14:paraId="46589AA5" w14:textId="5CCF3CBE" w:rsidR="00D67925" w:rsidRDefault="00D67925" w:rsidP="00D67925">
      <w:pPr>
        <w:pStyle w:val="af5"/>
        <w:numPr>
          <w:ilvl w:val="0"/>
          <w:numId w:val="24"/>
        </w:numPr>
        <w:jc w:val="both"/>
        <w:rPr>
          <w:lang w:val="en-GB"/>
        </w:rPr>
      </w:pPr>
      <w:r>
        <w:rPr>
          <w:lang w:val="en-GB"/>
        </w:rPr>
        <w:t>If UE switches its Rx beam at the CP duration of CC#2, then the last OFDM symbol of CC#1 will be corrupted. (</w:t>
      </w:r>
      <w:r w:rsidRPr="00D67925">
        <w:rPr>
          <w:color w:val="FF6600"/>
          <w:lang w:val="en-GB"/>
        </w:rPr>
        <w:t>orange arrow</w:t>
      </w:r>
      <w:r>
        <w:rPr>
          <w:lang w:val="en-GB"/>
        </w:rPr>
        <w:t>)</w:t>
      </w:r>
    </w:p>
    <w:p w14:paraId="2932567D" w14:textId="3CF75A9D" w:rsidR="00D67925" w:rsidRPr="00D67925" w:rsidRDefault="00D67925" w:rsidP="00D67925">
      <w:pPr>
        <w:pStyle w:val="af5"/>
        <w:numPr>
          <w:ilvl w:val="0"/>
          <w:numId w:val="24"/>
        </w:numPr>
        <w:jc w:val="both"/>
        <w:rPr>
          <w:lang w:val="en-GB"/>
        </w:rPr>
      </w:pPr>
      <w:r>
        <w:rPr>
          <w:lang w:val="en-GB"/>
        </w:rPr>
        <w:t>If UE switches its Rx beam at the CP duration of CC#1, then the first OFDM symbol of CC#2 will be corrupted. (</w:t>
      </w:r>
      <w:r w:rsidRPr="00D67925">
        <w:rPr>
          <w:color w:val="FF00FF"/>
          <w:lang w:val="en-GB"/>
        </w:rPr>
        <w:t>purple arrow</w:t>
      </w:r>
      <w:r>
        <w:rPr>
          <w:lang w:val="en-GB"/>
        </w:rPr>
        <w:t>)</w:t>
      </w:r>
    </w:p>
    <w:p w14:paraId="26A861D5" w14:textId="28ECEDAF" w:rsidR="00967F64" w:rsidRDefault="00D67925" w:rsidP="00D67925">
      <w:pPr>
        <w:jc w:val="center"/>
        <w:rPr>
          <w:lang w:val="en-GB" w:eastAsia="en-US"/>
        </w:rPr>
      </w:pPr>
      <w:r w:rsidRPr="00D67925">
        <w:rPr>
          <w:noProof/>
        </w:rPr>
        <w:lastRenderedPageBreak/>
        <w:drawing>
          <wp:inline distT="0" distB="0" distL="0" distR="0" wp14:anchorId="386FCEBA" wp14:editId="6FE30B7E">
            <wp:extent cx="5733478" cy="2795850"/>
            <wp:effectExtent l="0" t="0" r="63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8877" cy="2798483"/>
                    </a:xfrm>
                    <a:prstGeom prst="rect">
                      <a:avLst/>
                    </a:prstGeom>
                    <a:noFill/>
                    <a:ln>
                      <a:noFill/>
                    </a:ln>
                  </pic:spPr>
                </pic:pic>
              </a:graphicData>
            </a:graphic>
          </wp:inline>
        </w:drawing>
      </w:r>
    </w:p>
    <w:p w14:paraId="6B4C4B7F" w14:textId="3E1BE86E" w:rsidR="00967F64" w:rsidRDefault="008A4C2D" w:rsidP="008A4C2D">
      <w:pPr>
        <w:pStyle w:val="af1"/>
        <w:jc w:val="center"/>
        <w:rPr>
          <w:lang w:val="en-US"/>
        </w:rPr>
      </w:pPr>
      <w:bookmarkStart w:id="2" w:name="_Ref528521326"/>
      <w:r>
        <w:t xml:space="preserve">Figure </w:t>
      </w:r>
      <w:r>
        <w:fldChar w:fldCharType="begin"/>
      </w:r>
      <w:r>
        <w:instrText xml:space="preserve"> SEQ Figure \* ARABIC </w:instrText>
      </w:r>
      <w:r>
        <w:fldChar w:fldCharType="separate"/>
      </w:r>
      <w:r>
        <w:rPr>
          <w:noProof/>
        </w:rPr>
        <w:t>1</w:t>
      </w:r>
      <w:r>
        <w:fldChar w:fldCharType="end"/>
      </w:r>
      <w:bookmarkEnd w:id="2"/>
      <w:r>
        <w:rPr>
          <w:lang w:val="en-US"/>
        </w:rPr>
        <w:t xml:space="preserve">. Impact of 3us MRTD on UE Rx beam sweeping </w:t>
      </w:r>
    </w:p>
    <w:p w14:paraId="70A78CFA" w14:textId="77777777" w:rsidR="00FB24ED" w:rsidRDefault="00FB24ED" w:rsidP="00D67925">
      <w:pPr>
        <w:rPr>
          <w:lang w:eastAsia="x-none"/>
        </w:rPr>
      </w:pPr>
    </w:p>
    <w:p w14:paraId="66D845C2" w14:textId="1839F7D9" w:rsidR="00FB24ED" w:rsidRPr="00FB24ED" w:rsidRDefault="00FB24ED" w:rsidP="00FB24ED">
      <w:pPr>
        <w:pStyle w:val="af1"/>
        <w:jc w:val="both"/>
        <w:rPr>
          <w:lang w:val="en-US"/>
        </w:rPr>
      </w:pPr>
      <w:bookmarkStart w:id="3" w:name="_Ref528522338"/>
      <w:r>
        <w:t xml:space="preserve">Observation </w:t>
      </w:r>
      <w:r>
        <w:fldChar w:fldCharType="begin"/>
      </w:r>
      <w:r>
        <w:instrText xml:space="preserve"> SEQ Observation \* ARABIC </w:instrText>
      </w:r>
      <w:r>
        <w:fldChar w:fldCharType="separate"/>
      </w:r>
      <w:r>
        <w:rPr>
          <w:noProof/>
        </w:rPr>
        <w:t>1</w:t>
      </w:r>
      <w:r>
        <w:fldChar w:fldCharType="end"/>
      </w:r>
      <w:r>
        <w:rPr>
          <w:lang w:val="en-US"/>
        </w:rPr>
        <w:t xml:space="preserve">: Given the fact that the MRTD of FR2 intra-band NCCA is larger than the CP length of all SCSs, UE </w:t>
      </w:r>
      <w:r>
        <w:rPr>
          <w:lang w:val="en-GB" w:eastAsia="en-US"/>
        </w:rPr>
        <w:t>finds nowhere to switch its Rx beam without impacting the data reception performance.</w:t>
      </w:r>
      <w:bookmarkEnd w:id="3"/>
    </w:p>
    <w:p w14:paraId="11F915E5" w14:textId="77777777" w:rsidR="00FB24ED" w:rsidRDefault="00FB24ED" w:rsidP="00D67925">
      <w:pPr>
        <w:rPr>
          <w:lang w:eastAsia="x-none"/>
        </w:rPr>
      </w:pPr>
    </w:p>
    <w:p w14:paraId="59D00512" w14:textId="3E5133AD" w:rsidR="00D67925" w:rsidRDefault="00D67925" w:rsidP="00D67925">
      <w:pPr>
        <w:rPr>
          <w:lang w:eastAsia="x-none"/>
        </w:rPr>
      </w:pPr>
      <w:r>
        <w:rPr>
          <w:lang w:eastAsia="x-none"/>
        </w:rPr>
        <w:t>To deal with this issue, we suggest RAN4 to further discuss the solution such as</w:t>
      </w:r>
    </w:p>
    <w:p w14:paraId="14E55DEE" w14:textId="7B38848C" w:rsidR="00D67925" w:rsidRDefault="00D67925" w:rsidP="00D67925">
      <w:pPr>
        <w:pStyle w:val="af5"/>
        <w:numPr>
          <w:ilvl w:val="0"/>
          <w:numId w:val="25"/>
        </w:numPr>
        <w:rPr>
          <w:lang w:eastAsia="x-none"/>
        </w:rPr>
      </w:pPr>
      <w:r>
        <w:rPr>
          <w:lang w:eastAsia="x-none"/>
        </w:rPr>
        <w:t>Reduce MRTD requirement from 3us to 260ns</w:t>
      </w:r>
    </w:p>
    <w:p w14:paraId="4460F28E" w14:textId="73E93156" w:rsidR="00FB24ED" w:rsidRDefault="00FB24ED" w:rsidP="00D67925">
      <w:pPr>
        <w:pStyle w:val="af5"/>
        <w:numPr>
          <w:ilvl w:val="0"/>
          <w:numId w:val="25"/>
        </w:numPr>
        <w:rPr>
          <w:lang w:eastAsia="x-none"/>
        </w:rPr>
      </w:pPr>
      <w:r>
        <w:rPr>
          <w:lang w:eastAsia="x-none"/>
        </w:rPr>
        <w:t>Add additional scheduling restriction when TCI-state</w:t>
      </w:r>
      <w:r w:rsidR="00C11C9B">
        <w:rPr>
          <w:lang w:eastAsia="x-none"/>
        </w:rPr>
        <w:t xml:space="preserve"> changes, e.g., UE can skip one OFDM symbol in the next slot/symbol where UE expects TCI-state change.</w:t>
      </w:r>
    </w:p>
    <w:p w14:paraId="75D9D7AA" w14:textId="413385FA" w:rsidR="00FB24ED" w:rsidRDefault="00FB24ED" w:rsidP="00D67925">
      <w:pPr>
        <w:pStyle w:val="af5"/>
        <w:numPr>
          <w:ilvl w:val="0"/>
          <w:numId w:val="25"/>
        </w:numPr>
        <w:rPr>
          <w:lang w:eastAsia="x-none"/>
        </w:rPr>
      </w:pPr>
      <w:r>
        <w:rPr>
          <w:lang w:eastAsia="x-none"/>
        </w:rPr>
        <w:t>Others.</w:t>
      </w:r>
    </w:p>
    <w:p w14:paraId="1C5F6240" w14:textId="3A2F9D31" w:rsidR="00D67925" w:rsidRPr="00FB24ED" w:rsidRDefault="00FB24ED" w:rsidP="00FB24ED">
      <w:pPr>
        <w:pStyle w:val="af1"/>
        <w:rPr>
          <w:lang w:val="en-US"/>
        </w:rPr>
      </w:pPr>
      <w:bookmarkStart w:id="4" w:name="_Ref528522341"/>
      <w:r>
        <w:t xml:space="preserve">Proposal </w:t>
      </w:r>
      <w:r>
        <w:fldChar w:fldCharType="begin"/>
      </w:r>
      <w:r>
        <w:instrText xml:space="preserve"> SEQ Proposal \* ARABIC </w:instrText>
      </w:r>
      <w:r>
        <w:fldChar w:fldCharType="separate"/>
      </w:r>
      <w:r>
        <w:rPr>
          <w:noProof/>
        </w:rPr>
        <w:t>1</w:t>
      </w:r>
      <w:r>
        <w:fldChar w:fldCharType="end"/>
      </w:r>
      <w:r>
        <w:rPr>
          <w:lang w:val="en-US"/>
        </w:rPr>
        <w:t>: RAN4 to discuss how to deal with the impact of 3us MRTD to UE’s Rx beam sweeping.</w:t>
      </w:r>
      <w:bookmarkEnd w:id="4"/>
    </w:p>
    <w:p w14:paraId="1248FB82" w14:textId="77777777" w:rsidR="00D67925" w:rsidRPr="00D67925" w:rsidRDefault="00D67925" w:rsidP="00D67925">
      <w:pPr>
        <w:rPr>
          <w:lang w:eastAsia="x-non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7DF48A72" w14:textId="77777777" w:rsidR="00FB24ED" w:rsidRDefault="006F7557" w:rsidP="005D0BD9">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we discuss the impact of 3us MRTD requirement of FR2 NCCA on UE</w:t>
      </w:r>
      <w:r w:rsidR="00FB24ED">
        <w:t>’s Rx beam sweeping behavior.</w:t>
      </w:r>
    </w:p>
    <w:p w14:paraId="72051763" w14:textId="3286A485" w:rsidR="00FB24ED" w:rsidRPr="00FB24ED" w:rsidRDefault="00FB24ED" w:rsidP="005D0BD9">
      <w:pPr>
        <w:adjustRightInd w:val="0"/>
        <w:snapToGrid w:val="0"/>
        <w:spacing w:before="180" w:after="120"/>
        <w:jc w:val="both"/>
        <w:rPr>
          <w:b/>
          <w:sz w:val="20"/>
          <w:szCs w:val="20"/>
          <w:lang w:eastAsia="x-none"/>
        </w:rPr>
      </w:pPr>
      <w:r w:rsidRPr="00FB24ED">
        <w:rPr>
          <w:b/>
          <w:sz w:val="20"/>
          <w:szCs w:val="20"/>
          <w:lang w:eastAsia="x-none"/>
        </w:rPr>
        <w:fldChar w:fldCharType="begin"/>
      </w:r>
      <w:r w:rsidRPr="00FB24ED">
        <w:rPr>
          <w:b/>
          <w:sz w:val="20"/>
          <w:szCs w:val="20"/>
          <w:lang w:eastAsia="x-none"/>
        </w:rPr>
        <w:instrText xml:space="preserve"> REF _Ref528522338 \h </w:instrText>
      </w:r>
      <w:r>
        <w:rPr>
          <w:b/>
          <w:sz w:val="20"/>
          <w:szCs w:val="20"/>
          <w:lang w:eastAsia="x-none"/>
        </w:rPr>
        <w:instrText xml:space="preserve"> \* MERGEFORMAT </w:instrText>
      </w:r>
      <w:r w:rsidRPr="00FB24ED">
        <w:rPr>
          <w:b/>
          <w:sz w:val="20"/>
          <w:szCs w:val="20"/>
          <w:lang w:eastAsia="x-none"/>
        </w:rPr>
      </w:r>
      <w:r w:rsidRPr="00FB24ED">
        <w:rPr>
          <w:b/>
          <w:sz w:val="20"/>
          <w:szCs w:val="20"/>
          <w:lang w:eastAsia="x-none"/>
        </w:rPr>
        <w:fldChar w:fldCharType="separate"/>
      </w:r>
      <w:r w:rsidRPr="00FB24ED">
        <w:rPr>
          <w:b/>
          <w:sz w:val="20"/>
          <w:szCs w:val="20"/>
          <w:lang w:eastAsia="x-none"/>
        </w:rPr>
        <w:t>Observation 1: Given the fact that the MRTD of FR2 intra-band NCCA is larger than the CP length of all SCSs, UE finds nowhere to switch its Rx beam without impacting the data reception performance.</w:t>
      </w:r>
      <w:r w:rsidRPr="00FB24ED">
        <w:rPr>
          <w:b/>
          <w:sz w:val="20"/>
          <w:szCs w:val="20"/>
          <w:lang w:eastAsia="x-none"/>
        </w:rPr>
        <w:fldChar w:fldCharType="end"/>
      </w:r>
    </w:p>
    <w:p w14:paraId="331AFF5E" w14:textId="72623FFB" w:rsidR="00387A78" w:rsidRDefault="00FB24ED" w:rsidP="005D0BD9">
      <w:pPr>
        <w:adjustRightInd w:val="0"/>
        <w:snapToGrid w:val="0"/>
        <w:spacing w:before="180" w:after="120"/>
        <w:jc w:val="both"/>
      </w:pPr>
      <w:r w:rsidRPr="00FB24ED">
        <w:rPr>
          <w:b/>
          <w:sz w:val="20"/>
          <w:szCs w:val="20"/>
          <w:lang w:eastAsia="x-none"/>
        </w:rPr>
        <w:fldChar w:fldCharType="begin"/>
      </w:r>
      <w:r w:rsidRPr="00FB24ED">
        <w:rPr>
          <w:b/>
          <w:sz w:val="20"/>
          <w:szCs w:val="20"/>
          <w:lang w:eastAsia="x-none"/>
        </w:rPr>
        <w:instrText xml:space="preserve"> REF _Ref528522341 \h </w:instrText>
      </w:r>
      <w:r>
        <w:rPr>
          <w:b/>
          <w:sz w:val="20"/>
          <w:szCs w:val="20"/>
          <w:lang w:eastAsia="x-none"/>
        </w:rPr>
        <w:instrText xml:space="preserve"> \* MERGEFORMAT </w:instrText>
      </w:r>
      <w:r w:rsidRPr="00FB24ED">
        <w:rPr>
          <w:b/>
          <w:sz w:val="20"/>
          <w:szCs w:val="20"/>
          <w:lang w:eastAsia="x-none"/>
        </w:rPr>
      </w:r>
      <w:r w:rsidRPr="00FB24ED">
        <w:rPr>
          <w:b/>
          <w:sz w:val="20"/>
          <w:szCs w:val="20"/>
          <w:lang w:eastAsia="x-none"/>
        </w:rPr>
        <w:fldChar w:fldCharType="separate"/>
      </w:r>
      <w:r w:rsidRPr="00FB24ED">
        <w:rPr>
          <w:b/>
          <w:sz w:val="20"/>
          <w:szCs w:val="20"/>
          <w:lang w:eastAsia="x-none"/>
        </w:rPr>
        <w:t>Proposal 1: RAN4 to discuss how to deal with the impact of 3us MRTD to UE’s Rx beam sweeping.</w:t>
      </w:r>
      <w:r w:rsidRPr="00FB24ED">
        <w:rPr>
          <w:b/>
          <w:sz w:val="20"/>
          <w:szCs w:val="20"/>
          <w:lang w:eastAsia="x-none"/>
        </w:rPr>
        <w:fldChar w:fldCharType="end"/>
      </w:r>
      <w:r w:rsidR="00CE4FF9">
        <w:t xml:space="preserve"> </w:t>
      </w:r>
    </w:p>
    <w:p w14:paraId="3943A132" w14:textId="6B4B55C6" w:rsidR="00627136" w:rsidRPr="00FB24ED" w:rsidRDefault="000F20AC" w:rsidP="00FB24ED">
      <w:pPr>
        <w:pStyle w:val="1"/>
        <w:numPr>
          <w:ilvl w:val="0"/>
          <w:numId w:val="2"/>
        </w:numPr>
        <w:rPr>
          <w:rFonts w:ascii="Calibri" w:hAnsi="Calibri"/>
        </w:rPr>
      </w:pPr>
      <w:r w:rsidRPr="000C45FD">
        <w:rPr>
          <w:rFonts w:ascii="Calibri" w:hAnsi="Calibri"/>
        </w:rPr>
        <w:t>References</w:t>
      </w:r>
    </w:p>
    <w:sectPr w:rsidR="00627136" w:rsidRPr="00FB24E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BBB47" w14:textId="77777777" w:rsidR="00885683" w:rsidRDefault="00885683">
      <w:r>
        <w:separator/>
      </w:r>
    </w:p>
  </w:endnote>
  <w:endnote w:type="continuationSeparator" w:id="0">
    <w:p w14:paraId="456D44E4" w14:textId="77777777" w:rsidR="00885683" w:rsidRDefault="0088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2E2DB" w14:textId="77777777" w:rsidR="00885683" w:rsidRDefault="00885683">
      <w:r>
        <w:separator/>
      </w:r>
    </w:p>
  </w:footnote>
  <w:footnote w:type="continuationSeparator" w:id="0">
    <w:p w14:paraId="1647DE8A" w14:textId="77777777" w:rsidR="00885683" w:rsidRDefault="00885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1"/>
  </w:num>
  <w:num w:numId="3">
    <w:abstractNumId w:val="11"/>
  </w:num>
  <w:num w:numId="4">
    <w:abstractNumId w:val="15"/>
  </w:num>
  <w:num w:numId="5">
    <w:abstractNumId w:val="16"/>
  </w:num>
  <w:num w:numId="6">
    <w:abstractNumId w:val="4"/>
  </w:num>
  <w:num w:numId="7">
    <w:abstractNumId w:val="10"/>
  </w:num>
  <w:num w:numId="8">
    <w:abstractNumId w:val="19"/>
  </w:num>
  <w:num w:numId="9">
    <w:abstractNumId w:val="8"/>
  </w:num>
  <w:num w:numId="10">
    <w:abstractNumId w:val="0"/>
  </w:num>
  <w:num w:numId="11">
    <w:abstractNumId w:val="9"/>
  </w:num>
  <w:num w:numId="12">
    <w:abstractNumId w:val="13"/>
  </w:num>
  <w:num w:numId="13">
    <w:abstractNumId w:val="1"/>
  </w:num>
  <w:num w:numId="14">
    <w:abstractNumId w:val="24"/>
  </w:num>
  <w:num w:numId="15">
    <w:abstractNumId w:val="7"/>
  </w:num>
  <w:num w:numId="16">
    <w:abstractNumId w:val="3"/>
  </w:num>
  <w:num w:numId="17">
    <w:abstractNumId w:val="17"/>
  </w:num>
  <w:num w:numId="18">
    <w:abstractNumId w:val="23"/>
  </w:num>
  <w:num w:numId="19">
    <w:abstractNumId w:val="12"/>
  </w:num>
  <w:num w:numId="20">
    <w:abstractNumId w:val="6"/>
  </w:num>
  <w:num w:numId="21">
    <w:abstractNumId w:val="22"/>
  </w:num>
  <w:num w:numId="22">
    <w:abstractNumId w:val="18"/>
  </w:num>
  <w:num w:numId="23">
    <w:abstractNumId w:val="5"/>
  </w:num>
  <w:num w:numId="24">
    <w:abstractNumId w:val="2"/>
  </w:num>
  <w:num w:numId="2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CD0"/>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14C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4CD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33003-D701-476C-BB51-24886915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2018-11-02T09:05:00Z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